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Psychiatry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Prasad Padala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Delineate</w:t>
      </w:r>
      <w:r w:rsidRPr="00422F56">
        <w:rPr>
          <w:rFonts w:ascii="Calibri" w:hAnsi="Calibri"/>
        </w:rPr>
        <w:t xml:space="preserve"> various neuropsychiatric symptoms (NPS) associated with pre-dementia and dementia., 2 Review current literature on the impact of NPS on the course of dementia, 3 Discuss treatment options for NPS.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4/2</w:t>
      </w:r>
      <w:r w:rsidRPr="007B5356">
        <w:rPr>
          <w:rFonts w:ascii="Calibri" w:hAnsi="Calibri"/>
          <w:i/>
        </w:rPr>
        <w:t>/2018 3:30:00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NLR VA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