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Pediatrics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Karli Blocker</w:t>
      </w:r>
      <w:r w:rsidRPr="00422F56">
        <w:rPr>
          <w:rFonts w:ascii="Calibri" w:hAnsi="Calibri"/>
          <w:i/>
        </w:rPr>
        <w:t>, BS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Identify</w:t>
      </w:r>
      <w:r w:rsidRPr="00422F56">
        <w:rPr>
          <w:rFonts w:ascii="Calibri" w:hAnsi="Calibri"/>
        </w:rPr>
        <w:t xml:space="preserve"> the discussed genetic syndrome(s), 2 Describe the clinical features, testing and/or management of clinic cases discussed, 3 Identify appropriate testing &amp; referrals for the various syndrome(s) discussed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ACH Genetics</w:t>
      </w:r>
      <w:r w:rsidRPr="007B5356">
        <w:rPr>
          <w:rFonts w:ascii="Calibri" w:hAnsi="Calibri"/>
          <w:i/>
        </w:rPr>
        <w:t xml:space="preserve"> Conference Rm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