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John R</w:t>
      </w:r>
      <w:r w:rsidRPr="00422F56">
        <w:rPr>
          <w:rFonts w:ascii="Calibri" w:hAnsi="Calibri"/>
          <w:i/>
        </w:rPr>
        <w:t>. Taylor,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Describe</w:t>
      </w:r>
      <w:r w:rsidRPr="00422F56">
        <w:rPr>
          <w:rFonts w:ascii="Calibri" w:hAnsi="Calibri"/>
        </w:rPr>
        <w:t xml:space="preserve"> the signs and symptoms associated with blunt hepatic and splenic injuries, 2 Describe the physiologic derangements caused by severe blood loss following blunt hepatic and splenic injuries and the implications for management., 3 Identify the need for operative intervention, emergent or delayed, vs. nonoperative management in a patient with abdominal trauma.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8:00:00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Rahn</w:t>
      </w:r>
      <w:r w:rsidRPr="007B5356">
        <w:rPr>
          <w:rFonts w:ascii="Calibri" w:hAnsi="Calibri"/>
          <w:i/>
        </w:rPr>
        <w:t xml:space="preserve"> Bldg, Rm 8240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