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Surgery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Frederick Bentley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Evaluate</w:t>
      </w:r>
      <w:r w:rsidRPr="00422F56">
        <w:rPr>
          <w:rFonts w:ascii="Calibri" w:hAnsi="Calibri"/>
        </w:rPr>
        <w:t xml:space="preserve"> complications and errors and modify behavior and judgment based on previous experience., 2 Assess errors that lead to complications in order to prevent future adverse outcomes., 3 Identify areas of improvement and systems issues that affect patient care.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4/10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Rahn</w:t>
      </w:r>
      <w:r w:rsidRPr="007B5356">
        <w:rPr>
          <w:rFonts w:ascii="Calibri" w:hAnsi="Calibri"/>
          <w:i/>
        </w:rPr>
        <w:t xml:space="preserve"> Bldg, Rm 8240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