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Surgery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Mohammed M</w:t>
      </w:r>
      <w:r w:rsidRPr="00422F56">
        <w:rPr>
          <w:rFonts w:ascii="Calibri" w:hAnsi="Calibri"/>
          <w:i/>
        </w:rPr>
        <w:t>. Moursi,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Evaluate</w:t>
      </w:r>
      <w:r w:rsidRPr="00422F56">
        <w:rPr>
          <w:rFonts w:ascii="Calibri" w:hAnsi="Calibri"/>
        </w:rPr>
        <w:t xml:space="preserve"> when things do go wrong, to improve standards of care., 2 Perform a succinct overview of patients’ condition and/or complications., 3 Analyze literature that addresses patients’ condition and/or complications.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4/10</w:t>
      </w:r>
      <w:r w:rsidRPr="007B5356">
        <w:rPr>
          <w:rFonts w:ascii="Calibri" w:hAnsi="Calibri"/>
          <w:i/>
        </w:rPr>
        <w:t>/2018 4:00:00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Surgery Library, RM S7/11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