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Surgery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Jason Mizell</w:t>
      </w:r>
      <w:r w:rsidRPr="00422F56">
        <w:rPr>
          <w:rFonts w:ascii="Calibri" w:hAnsi="Calibri"/>
          <w:i/>
        </w:rPr>
        <w:t>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Identify</w:t>
      </w:r>
      <w:r w:rsidRPr="00422F56">
        <w:rPr>
          <w:rFonts w:ascii="Calibri" w:hAnsi="Calibri"/>
        </w:rPr>
        <w:t xml:space="preserve"> the leading financial mistakes physicians make., 2 Develop strategies for debt management., 3 Identify external factors that affect the cost of healthcare.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4/10</w:t>
      </w:r>
      <w:r w:rsidRPr="007B5356">
        <w:rPr>
          <w:rFonts w:ascii="Calibri" w:hAnsi="Calibri"/>
          <w:i/>
        </w:rPr>
        <w:t>/2018 8:00:00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Rahn</w:t>
      </w:r>
      <w:r w:rsidRPr="007B5356">
        <w:rPr>
          <w:rFonts w:ascii="Calibri" w:hAnsi="Calibri"/>
          <w:i/>
        </w:rPr>
        <w:t xml:space="preserve"> Bldg, Rm 8240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