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CHI St</w:t>
      </w:r>
      <w:r>
        <w:rPr>
          <w:rFonts w:ascii="Calibri" w:hAnsi="Calibri"/>
          <w:b/>
          <w:i/>
        </w:rPr>
        <w:t>. Vincent Hot Springs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David Pruitt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Outline</w:t>
      </w:r>
      <w:r w:rsidRPr="00422F56">
        <w:rPr>
          <w:rFonts w:ascii="Calibri" w:hAnsi="Calibri"/>
        </w:rPr>
        <w:t xml:space="preserve"> pertinent features of a selected clinical case. , 2 Compare and contrast diagnostic and therapeutic modalities. , 3 Formulate a plan for care using evidence based methodology.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CHI St</w:t>
      </w:r>
      <w:r w:rsidRPr="007B5356">
        <w:rPr>
          <w:rFonts w:ascii="Calibri" w:hAnsi="Calibri"/>
          <w:i/>
        </w:rPr>
        <w:t>. Vincent - Hot Springs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