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AR State</w:t>
      </w:r>
      <w:r>
        <w:rPr>
          <w:rFonts w:ascii="Calibri" w:hAnsi="Calibri"/>
          <w:b/>
          <w:i/>
        </w:rPr>
        <w:t xml:space="preserve"> Hospital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Daniel Price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Though primarily</w:t>
      </w:r>
      <w:r w:rsidRPr="00422F56">
        <w:rPr>
          <w:rFonts w:ascii="Calibri" w:hAnsi="Calibri"/>
          <w:i/>
        </w:rPr>
        <w:t xml:space="preserve"> internal, non-UAMS learners are welcome for this RSS.&amp;nbsp;Participants will not only learn about pharmacologic approaches for treating mental disorders but also&lt;br&gt;non-pharmacological approaches, such as behavioral interventions, psychotherapy, etc.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Review</w:t>
      </w:r>
      <w:r w:rsidRPr="00422F56">
        <w:rPr>
          <w:rFonts w:ascii="Calibri" w:hAnsi="Calibri"/>
        </w:rPr>
        <w:t xml:space="preserve"> necessary elements for common billing codes, 2 Review risk management and medicolegal recommendations for physicians, 3 Discuss examples of various resident notes and identify strategies to improve efficiency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4/17</w:t>
      </w:r>
      <w:r w:rsidRPr="007B5356">
        <w:rPr>
          <w:rFonts w:ascii="Calibri" w:hAnsi="Calibri"/>
          <w:i/>
        </w:rPr>
        <w:t>/2018 11:30:00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AR State</w:t>
      </w:r>
      <w:r w:rsidRPr="007B5356">
        <w:rPr>
          <w:rFonts w:ascii="Calibri" w:hAnsi="Calibri"/>
          <w:i/>
        </w:rPr>
        <w:t xml:space="preserve"> Hospital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